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</w:t>
      </w:r>
      <w:r w:rsidR="004A3262">
        <w:rPr>
          <w:sz w:val="24"/>
          <w:szCs w:val="24"/>
        </w:rPr>
        <w:t>«О районном бюджете муниципального обр</w:t>
      </w:r>
      <w:r w:rsidR="004A3262">
        <w:rPr>
          <w:sz w:val="24"/>
          <w:szCs w:val="24"/>
        </w:rPr>
        <w:t>а</w:t>
      </w:r>
      <w:r w:rsidR="004A3262">
        <w:rPr>
          <w:sz w:val="24"/>
          <w:szCs w:val="24"/>
        </w:rPr>
        <w:t xml:space="preserve">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D0482D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плановый период 202</w:t>
      </w:r>
      <w:r w:rsidR="00D0482D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и 202</w:t>
      </w:r>
      <w:r w:rsidR="00D0482D">
        <w:rPr>
          <w:sz w:val="24"/>
          <w:szCs w:val="24"/>
        </w:rPr>
        <w:t>4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923DE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F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71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3DE2" w:rsidRPr="009709AF" w:rsidRDefault="006D2771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DE2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374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94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9423B8" w:rsidP="009C39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C39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18 919,6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9C39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C39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18 919,6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C398A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18 919,6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2,73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711 304,5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18 919,6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2,64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734 998,9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изменился и сос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23 694,4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1C45ED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711 304,5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489 593,9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736707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503 521,4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1C45ED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734 998,9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1304E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489 593,9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1304E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503 521,4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1C45ED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23 694,4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1304E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1304E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630CFE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920B0A" w:rsidRDefault="00FD2031" w:rsidP="00201329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0CFE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630CFE">
        <w:rPr>
          <w:rFonts w:ascii="Times New Roman" w:hAnsi="Times New Roman"/>
          <w:bCs/>
          <w:sz w:val="24"/>
          <w:szCs w:val="24"/>
        </w:rPr>
        <w:t xml:space="preserve">(налоговые доходы, неналоговые доходы) </w:t>
      </w:r>
      <w:r w:rsidR="00763230" w:rsidRPr="00630CFE">
        <w:rPr>
          <w:rFonts w:ascii="Times New Roman" w:hAnsi="Times New Roman"/>
          <w:bCs/>
          <w:sz w:val="24"/>
          <w:szCs w:val="24"/>
        </w:rPr>
        <w:t>в 202</w:t>
      </w:r>
      <w:r w:rsidR="00E2750D" w:rsidRPr="00630CFE">
        <w:rPr>
          <w:rFonts w:ascii="Times New Roman" w:hAnsi="Times New Roman"/>
          <w:bCs/>
          <w:sz w:val="24"/>
          <w:szCs w:val="24"/>
        </w:rPr>
        <w:t>2</w:t>
      </w:r>
      <w:r w:rsidR="00763230" w:rsidRPr="00630CFE">
        <w:rPr>
          <w:rFonts w:ascii="Times New Roman" w:hAnsi="Times New Roman"/>
          <w:bCs/>
          <w:sz w:val="24"/>
          <w:szCs w:val="24"/>
        </w:rPr>
        <w:t xml:space="preserve"> году </w:t>
      </w:r>
      <w:r w:rsidR="00201329">
        <w:rPr>
          <w:rFonts w:ascii="Times New Roman" w:hAnsi="Times New Roman"/>
          <w:bCs/>
          <w:sz w:val="24"/>
          <w:szCs w:val="24"/>
        </w:rPr>
        <w:t>не изменятся</w:t>
      </w:r>
      <w:r w:rsidR="00322048" w:rsidRPr="00630CFE">
        <w:rPr>
          <w:rFonts w:ascii="Times New Roman" w:hAnsi="Times New Roman"/>
          <w:bCs/>
          <w:sz w:val="24"/>
          <w:szCs w:val="24"/>
        </w:rPr>
        <w:t xml:space="preserve"> </w:t>
      </w:r>
      <w:r w:rsidR="00201329">
        <w:rPr>
          <w:rFonts w:ascii="Times New Roman" w:hAnsi="Times New Roman"/>
          <w:bCs/>
          <w:sz w:val="24"/>
          <w:szCs w:val="24"/>
        </w:rPr>
        <w:t xml:space="preserve"> - </w:t>
      </w:r>
      <w:r w:rsidR="00920B0A">
        <w:rPr>
          <w:rFonts w:ascii="Times New Roman" w:hAnsi="Times New Roman"/>
          <w:bCs/>
          <w:sz w:val="24"/>
          <w:szCs w:val="24"/>
        </w:rPr>
        <w:t>164 688,2</w:t>
      </w:r>
      <w:r w:rsidRPr="00630CF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920B0A">
        <w:rPr>
          <w:rFonts w:ascii="Times New Roman" w:hAnsi="Times New Roman"/>
          <w:bCs/>
          <w:sz w:val="24"/>
          <w:szCs w:val="24"/>
        </w:rPr>
        <w:t>лей</w:t>
      </w:r>
      <w:r w:rsidR="00201329">
        <w:rPr>
          <w:rFonts w:ascii="Times New Roman" w:hAnsi="Times New Roman"/>
          <w:bCs/>
          <w:sz w:val="24"/>
          <w:szCs w:val="24"/>
        </w:rPr>
        <w:t>.</w:t>
      </w:r>
    </w:p>
    <w:p w:rsidR="00201329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18 919,6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546 661,4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  <w:r w:rsidR="00CA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1329" w:rsidRPr="00201329" w:rsidRDefault="002013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на сбалансированность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+10 963,0 тыс. рублей</w:t>
      </w:r>
      <w:r w:rsidRP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1E46" w:rsidRDefault="00AD4BB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</w:t>
      </w:r>
      <w:r w:rsidR="00DC1E46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r w:rsidR="00201329" w:rsidRP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955,</w:t>
      </w:r>
      <w:r w:rsidR="0056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C1E46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201329" w:rsidRDefault="002013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Субвенции +1,6 тыс. рублей</w:t>
      </w:r>
      <w:r w:rsidRPr="00C2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95DBB" w:rsidRPr="00D95DB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18 919,6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65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D95DBB" w:rsidRPr="00D95DB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734 998,9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790DE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4 206,4</w:t>
      </w:r>
      <w:r w:rsidR="0060265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тыс. рублей и составят с учетом изменений </w:t>
      </w:r>
      <w:r w:rsidR="00790DE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72 581,0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90DE3" w:rsidRPr="00790DE3" w:rsidRDefault="00790DE3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-01 </w:t>
      </w:r>
      <w:r w:rsidRPr="00790DE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790D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представительных органов муниципальных образований»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+29,9 тыс. рублей расходы на выплаты персоналу в целях обеспечения выполнения фун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ций муниципальными органами</w:t>
      </w:r>
      <w:r w:rsidRPr="00790D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B251D" w:rsidRDefault="00CB251D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B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рование местных администраций» </w:t>
      </w:r>
      <w:r w:rsidR="00CA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790D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1 065,5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E48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+1 190,0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="00A91DFD" w:rsidRPr="002E48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рублей</w:t>
      </w:r>
      <w:r w:rsidR="00A91DFD" w:rsidRPr="002E48BF">
        <w:rPr>
          <w:sz w:val="24"/>
          <w:szCs w:val="24"/>
        </w:rPr>
        <w:t xml:space="preserve"> </w:t>
      </w:r>
      <w:r w:rsidR="002E48BF" w:rsidRPr="002E48BF">
        <w:rPr>
          <w:rFonts w:ascii="Times New Roman" w:hAnsi="Times New Roman" w:cs="Times New Roman"/>
          <w:sz w:val="24"/>
          <w:szCs w:val="24"/>
        </w:rPr>
        <w:t>расходы на выплаты персоналу в целях обеспечения выполнения функций мун</w:t>
      </w:r>
      <w:r w:rsidR="002E48BF" w:rsidRPr="002E48BF">
        <w:rPr>
          <w:rFonts w:ascii="Times New Roman" w:hAnsi="Times New Roman" w:cs="Times New Roman"/>
          <w:sz w:val="24"/>
          <w:szCs w:val="24"/>
        </w:rPr>
        <w:t>и</w:t>
      </w:r>
      <w:r w:rsidR="002E48BF" w:rsidRPr="002E48BF">
        <w:rPr>
          <w:rFonts w:ascii="Times New Roman" w:hAnsi="Times New Roman" w:cs="Times New Roman"/>
          <w:sz w:val="24"/>
          <w:szCs w:val="24"/>
        </w:rPr>
        <w:t>ципаль</w:t>
      </w:r>
      <w:r w:rsidR="002E48BF">
        <w:rPr>
          <w:rFonts w:ascii="Times New Roman" w:hAnsi="Times New Roman" w:cs="Times New Roman"/>
          <w:sz w:val="24"/>
          <w:szCs w:val="24"/>
        </w:rPr>
        <w:t>ными органами, -484,8тыс. рублей</w:t>
      </w:r>
      <w:r w:rsidR="002E48BF" w:rsidRPr="002E48BF">
        <w:rPr>
          <w:rFonts w:ascii="Times New Roman" w:hAnsi="Times New Roman" w:cs="Times New Roman"/>
          <w:sz w:val="24"/>
          <w:szCs w:val="24"/>
        </w:rPr>
        <w:t xml:space="preserve"> </w:t>
      </w:r>
      <w:r w:rsidR="00812167">
        <w:rPr>
          <w:rFonts w:ascii="Times New Roman" w:hAnsi="Times New Roman" w:cs="Times New Roman"/>
          <w:sz w:val="24"/>
          <w:szCs w:val="24"/>
        </w:rPr>
        <w:t>на материальные расходы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2E48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54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2E48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2E48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программе информатизации органов местного самоуправления, 305,5 тыс. рублей 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топливно-энергетические ресурсы</w:t>
      </w:r>
      <w:r w:rsidRP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07A05" w:rsidRPr="00807A05" w:rsidRDefault="00807A05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807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</w:t>
      </w:r>
      <w:r w:rsidRPr="0080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80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 финансового надзора»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+682,1 тыс. рублей </w:t>
      </w:r>
      <w:r w:rsidRPr="0080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выплаты персоналу в целях обеспечения выполнения функций муниципальными органами;</w:t>
      </w:r>
    </w:p>
    <w:p w:rsidR="002416E0" w:rsidRPr="0017382B" w:rsidRDefault="002416E0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030611"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E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01 11</w:t>
      </w:r>
      <w:r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«Резервные фонды» </w:t>
      </w:r>
      <w:r w:rsidR="00BC300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-3</w:t>
      </w:r>
      <w:r w:rsidR="00EB3F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</w:t>
      </w:r>
      <w:r w:rsidR="00D903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8F6E3E" w:rsidRP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BC300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2 396,5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6B77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F35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430,5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030DD1" w:rsidRPr="00030DD1">
        <w:t xml:space="preserve"> </w:t>
      </w:r>
      <w:r w:rsidR="00030DD1" w:rsidRP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выплаты персоналу в целях обеспечения выполнения функций муниципал</w:t>
      </w:r>
      <w:r w:rsidR="00030DD1" w:rsidRP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</w:t>
      </w:r>
      <w:r w:rsidR="00030DD1" w:rsidRP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ными органами</w:t>
      </w:r>
      <w:r w:rsid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+1 512,0 тыс. рублей на оценку недвижимости, признание прав и регул</w:t>
      </w:r>
      <w:r w:rsid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030D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рование отношений по государственной собственности, +454,0 тыс. рублей</w:t>
      </w:r>
      <w:r w:rsid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материальные расходы).</w:t>
      </w:r>
    </w:p>
    <w:p w:rsidR="00573CC7" w:rsidRPr="00B80B29" w:rsidRDefault="00573CC7" w:rsidP="00573CC7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CC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 разделу 03</w:t>
      </w:r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«Национальная безопасность и правоохранительная деятельность» сокращения произойдут на сумму 8,9 тыс. рублей и составят с учетом изменений 3 058,9 тыс. рублей</w:t>
      </w:r>
    </w:p>
    <w:p w:rsidR="00573CC7" w:rsidRDefault="00573CC7" w:rsidP="00573CC7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3C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03 10</w:t>
      </w:r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«Защита населения и территории от чрезвычайных ситуаций природного и </w:t>
      </w:r>
      <w:proofErr w:type="gramStart"/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техно-генного</w:t>
      </w:r>
      <w:proofErr w:type="gramEnd"/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актера, пожарная безопасность» -8,9</w:t>
      </w:r>
      <w:r w:rsidRPr="00573C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F379F2" w:rsidRP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выплаты перс</w:t>
      </w:r>
      <w:r w:rsidR="00F379F2" w:rsidRP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F379F2" w:rsidRP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налу в целях обеспечени</w:t>
      </w:r>
      <w:r w:rsid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выполнения функций муниципаль</w:t>
      </w:r>
      <w:r w:rsidR="00F379F2" w:rsidRP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ными органами</w:t>
      </w:r>
      <w:r w:rsidR="00F379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80B29" w:rsidRDefault="00B80B29" w:rsidP="00573CC7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80B29" w:rsidRPr="00B80B29" w:rsidRDefault="00B80B29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 увеличения произойдут на сумму 300,0 тыс. рублей и составят с учетом изменений 25 819,5 тыс. рублей</w:t>
      </w:r>
    </w:p>
    <w:p w:rsidR="00B80B29" w:rsidRDefault="00B80B29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04 09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«Дорожное хозяйство (дорожные фонды)» +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(+</w:t>
      </w:r>
      <w:r w:rsidR="008D01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межбюджетные трансферты сельсоветам Троицкого района из районного бюджета)</w:t>
      </w:r>
    </w:p>
    <w:p w:rsidR="00251D1B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5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A03A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8 946,7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A03A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57 889,2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6B84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22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02 «</w:t>
      </w:r>
      <w:r w:rsidRPr="0064225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+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8 786,7</w:t>
      </w:r>
      <w:r w:rsidR="004C35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(+ 7 429,5 тыс. рублей на газ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фикацию объектов Троицкого района, +1 357,2 тыс. рублей 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адресную инвестиционную программу Троицкого района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6BAB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</w:t>
      </w:r>
      <w:r w:rsidR="000307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0307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1 948,8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0307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457 022,6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995914" w:rsidRPr="00A42220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C06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4C0668" w:rsidRP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127,5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E2F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+53,3 тыс. рублей субсидии бю</w:t>
      </w:r>
      <w:r w:rsidR="006E2F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6E2F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жетным учреждениям, </w:t>
      </w:r>
      <w:r w:rsidR="00A829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-14,2 тыс. рублей на обеспечение противопожарной безопасности, -166,6 тыс. рублей на расчеты за топливно-энергетические ресурсы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26BAB" w:rsidRPr="00A42220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«Общее образование» 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+1 968,0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CF37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62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+1 359,6 тыс. рублей субсидии бю</w:t>
      </w:r>
      <w:r w:rsidR="00F62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F62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жетным учреждениям, -56,0 тыс. рублей противопожарная безопасность, +664,3 тыс. ру</w:t>
      </w:r>
      <w:r w:rsidR="00F62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F62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 расходы за топливно-энергетические ресурсы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0668" w:rsidRPr="00A42220" w:rsidRDefault="004C0668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6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«Дополнительное образование» -243,4</w:t>
      </w:r>
      <w:r w:rsidR="00995B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ниям;</w:t>
      </w:r>
    </w:p>
    <w:p w:rsidR="004C0668" w:rsidRPr="00A42220" w:rsidRDefault="004C0668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6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«Молодежная политика» +169,0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на подпрограмму «Развитие дополн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тельного образования детей и сферы отдыха и оздоровления детей » МП «Развитие обр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зования в Троицком районе»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0668" w:rsidRPr="00126BAB" w:rsidRDefault="004C0668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6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образования» +182,7</w:t>
      </w:r>
      <w:r w:rsid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="00136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+173,6</w:t>
      </w:r>
      <w:r w:rsid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C01D65" w:rsidRP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выплаты персоналу в целях обеспечения выполнения функций муниципал</w:t>
      </w:r>
      <w:r w:rsidR="00C01D65" w:rsidRP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</w:t>
      </w:r>
      <w:r w:rsidR="00C01D65" w:rsidRP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ными органами</w:t>
      </w:r>
      <w:r w:rsidR="00C01D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+9,1 тыс. рублей расчеты за топливно-энергетические ресурсы)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7ED5" w:rsidRPr="00126BAB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кинематография»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2825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757,2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2825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45 579,0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A02168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</w:t>
      </w:r>
      <w:r w:rsidR="001609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01 </w:t>
      </w:r>
      <w:r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160976"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757,2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(+345,6 тыс. рублей подпрограмма «Организация библиотечного, справочного и информационного облуживания населения», -35,6 тыс. рублей подпрограмма «Организация музейного обслуживания Троицкого района»,  +373,1 тыс. рублей </w:t>
      </w:r>
      <w:r w:rsidR="00282546" w:rsidRP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</w:t>
      </w:r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+74,0 тыс. рублей ремонт РДК</w:t>
      </w:r>
      <w:proofErr w:type="gramStart"/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540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02168" w:rsidRDefault="00A02168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502A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445,0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502A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28 667,7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2A06" w:rsidRDefault="00502A06" w:rsidP="00223F7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- 10 01 </w:t>
      </w:r>
      <w:r w:rsidRPr="00502A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«Пенсионное обеспечение»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+</w:t>
      </w:r>
      <w:r w:rsidRPr="00502A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15,0 тыс. рублей</w:t>
      </w:r>
      <w:r w:rsidRPr="00C26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561689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97B2E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23F73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+ </w:t>
      </w:r>
      <w:r w:rsidR="00502A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="00AA5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0,0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AA5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5616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социальное обеспечение и выплаты населению.</w:t>
      </w:r>
    </w:p>
    <w:p w:rsidR="00502A06" w:rsidRPr="00502A06" w:rsidRDefault="00502A06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A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10 04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A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«Охрана семьи и детства»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+400 тыс. рублей социальное обеспечение и иные 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платы населению.</w:t>
      </w:r>
    </w:p>
    <w:p w:rsidR="00AF298C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F298C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 и спорт»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502A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227,1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 учетом изменений составят </w:t>
      </w:r>
      <w:r w:rsidR="00BF09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02A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 804,3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90309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-11 05 </w:t>
      </w:r>
      <w:r w:rsidRPr="004C6E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вопросы в области физической культуры»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590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227,1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590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(-79,5 тыс. рублей на противопожарную безопасность, +273,3 тыс. рублей </w:t>
      </w:r>
      <w:r w:rsidR="00590309" w:rsidRPr="00590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</w:t>
      </w:r>
      <w:r w:rsidR="00590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+33,3 тыс. рублей расчеты за топливно-энергетические ресурсы).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A50AA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14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субъектов и муниципальных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образований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2 097,3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лей и с учетом изменений составят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8 588,9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2A50AA" w:rsidRPr="00040A93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-14 0</w:t>
      </w:r>
      <w:r w:rsidR="003B15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0A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«Прочие межбюджетные трансферты»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2 097,3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трансферты бюджетам сельских поселений.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F1F05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A40CBD" w:rsidRPr="00902979" w:rsidRDefault="00A40CBD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D4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изменится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23 694,4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финансового деф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</w:t>
      </w:r>
      <w:r w:rsidR="00F6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превышает установленный предел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92.1 п. 3 Бюджетного кодекса Российской Федерации. </w:t>
      </w:r>
    </w:p>
    <w:p w:rsidR="00204C72" w:rsidRPr="00902979" w:rsidRDefault="00204C72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EE" w:rsidRPr="00902979" w:rsidRDefault="007460D4" w:rsidP="00257C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Троицкий муниципальный район Алтайского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87056A" w:rsidRDefault="0087056A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1AF0"/>
    <w:rsid w:val="0001214A"/>
    <w:rsid w:val="00015360"/>
    <w:rsid w:val="000212EA"/>
    <w:rsid w:val="0002152F"/>
    <w:rsid w:val="000230E7"/>
    <w:rsid w:val="00030611"/>
    <w:rsid w:val="00030742"/>
    <w:rsid w:val="00030DD1"/>
    <w:rsid w:val="00036E47"/>
    <w:rsid w:val="00040A93"/>
    <w:rsid w:val="00046161"/>
    <w:rsid w:val="00050795"/>
    <w:rsid w:val="000546A5"/>
    <w:rsid w:val="00057527"/>
    <w:rsid w:val="00070B45"/>
    <w:rsid w:val="00074543"/>
    <w:rsid w:val="00076411"/>
    <w:rsid w:val="00077A0C"/>
    <w:rsid w:val="00081F95"/>
    <w:rsid w:val="00082BD6"/>
    <w:rsid w:val="000964EE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65DD"/>
    <w:rsid w:val="000E6F5D"/>
    <w:rsid w:val="000F2749"/>
    <w:rsid w:val="00101552"/>
    <w:rsid w:val="00107378"/>
    <w:rsid w:val="00111EE5"/>
    <w:rsid w:val="00116823"/>
    <w:rsid w:val="00117185"/>
    <w:rsid w:val="0012564F"/>
    <w:rsid w:val="0012604C"/>
    <w:rsid w:val="00126BAB"/>
    <w:rsid w:val="001304EA"/>
    <w:rsid w:val="00136BA4"/>
    <w:rsid w:val="001377A4"/>
    <w:rsid w:val="001377E9"/>
    <w:rsid w:val="00147E95"/>
    <w:rsid w:val="001513A2"/>
    <w:rsid w:val="00154A86"/>
    <w:rsid w:val="001554D9"/>
    <w:rsid w:val="00156104"/>
    <w:rsid w:val="00160976"/>
    <w:rsid w:val="00163BAF"/>
    <w:rsid w:val="00166360"/>
    <w:rsid w:val="0017091A"/>
    <w:rsid w:val="00171066"/>
    <w:rsid w:val="001722AF"/>
    <w:rsid w:val="0017382B"/>
    <w:rsid w:val="00175013"/>
    <w:rsid w:val="00183A63"/>
    <w:rsid w:val="00183D16"/>
    <w:rsid w:val="00185FEA"/>
    <w:rsid w:val="00197D0C"/>
    <w:rsid w:val="001A6D54"/>
    <w:rsid w:val="001B41CA"/>
    <w:rsid w:val="001B4555"/>
    <w:rsid w:val="001C45ED"/>
    <w:rsid w:val="001C68AA"/>
    <w:rsid w:val="001C7ED5"/>
    <w:rsid w:val="001D1700"/>
    <w:rsid w:val="001D643D"/>
    <w:rsid w:val="001E04BB"/>
    <w:rsid w:val="001E1877"/>
    <w:rsid w:val="001E1CB4"/>
    <w:rsid w:val="001E1F2A"/>
    <w:rsid w:val="001E4C84"/>
    <w:rsid w:val="001E7193"/>
    <w:rsid w:val="001F2761"/>
    <w:rsid w:val="001F4CC0"/>
    <w:rsid w:val="00201329"/>
    <w:rsid w:val="00204C72"/>
    <w:rsid w:val="00211446"/>
    <w:rsid w:val="0021494E"/>
    <w:rsid w:val="002154CD"/>
    <w:rsid w:val="0022115D"/>
    <w:rsid w:val="00221F10"/>
    <w:rsid w:val="00223F73"/>
    <w:rsid w:val="00224D82"/>
    <w:rsid w:val="00225FC4"/>
    <w:rsid w:val="0022608C"/>
    <w:rsid w:val="0023489F"/>
    <w:rsid w:val="00237AE9"/>
    <w:rsid w:val="00240970"/>
    <w:rsid w:val="00240F01"/>
    <w:rsid w:val="002416E0"/>
    <w:rsid w:val="00242AC1"/>
    <w:rsid w:val="00245CA5"/>
    <w:rsid w:val="002519C6"/>
    <w:rsid w:val="00251D1B"/>
    <w:rsid w:val="00257CC5"/>
    <w:rsid w:val="00261BF7"/>
    <w:rsid w:val="00263316"/>
    <w:rsid w:val="00270B08"/>
    <w:rsid w:val="00272200"/>
    <w:rsid w:val="00272D14"/>
    <w:rsid w:val="00281A0E"/>
    <w:rsid w:val="00282546"/>
    <w:rsid w:val="00284A62"/>
    <w:rsid w:val="002A50AA"/>
    <w:rsid w:val="002B0C3A"/>
    <w:rsid w:val="002B1247"/>
    <w:rsid w:val="002C1688"/>
    <w:rsid w:val="002C2F99"/>
    <w:rsid w:val="002C36A8"/>
    <w:rsid w:val="002C654E"/>
    <w:rsid w:val="002E0084"/>
    <w:rsid w:val="002E48BF"/>
    <w:rsid w:val="002F1F05"/>
    <w:rsid w:val="002F7111"/>
    <w:rsid w:val="002F7BA7"/>
    <w:rsid w:val="0030259D"/>
    <w:rsid w:val="0031108B"/>
    <w:rsid w:val="003122CC"/>
    <w:rsid w:val="0031351E"/>
    <w:rsid w:val="003175B8"/>
    <w:rsid w:val="00321D91"/>
    <w:rsid w:val="00322048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77368"/>
    <w:rsid w:val="00381A55"/>
    <w:rsid w:val="0038236F"/>
    <w:rsid w:val="0038588C"/>
    <w:rsid w:val="003870B4"/>
    <w:rsid w:val="003971C2"/>
    <w:rsid w:val="003A0CC2"/>
    <w:rsid w:val="003B1582"/>
    <w:rsid w:val="003B3536"/>
    <w:rsid w:val="003C278F"/>
    <w:rsid w:val="003C2B11"/>
    <w:rsid w:val="003C5FB7"/>
    <w:rsid w:val="003D04B4"/>
    <w:rsid w:val="003D0898"/>
    <w:rsid w:val="003D0ADC"/>
    <w:rsid w:val="003D31D9"/>
    <w:rsid w:val="003E5A44"/>
    <w:rsid w:val="003E7125"/>
    <w:rsid w:val="003F035D"/>
    <w:rsid w:val="003F0F4D"/>
    <w:rsid w:val="00412D15"/>
    <w:rsid w:val="00413F01"/>
    <w:rsid w:val="00417E40"/>
    <w:rsid w:val="00427DCA"/>
    <w:rsid w:val="00427FF3"/>
    <w:rsid w:val="004302E3"/>
    <w:rsid w:val="00432599"/>
    <w:rsid w:val="00434D4D"/>
    <w:rsid w:val="00437095"/>
    <w:rsid w:val="0044217F"/>
    <w:rsid w:val="00442B16"/>
    <w:rsid w:val="004463CB"/>
    <w:rsid w:val="00454379"/>
    <w:rsid w:val="00460F4F"/>
    <w:rsid w:val="004742BE"/>
    <w:rsid w:val="00480C08"/>
    <w:rsid w:val="00483F64"/>
    <w:rsid w:val="004A0AF5"/>
    <w:rsid w:val="004A3262"/>
    <w:rsid w:val="004B59C6"/>
    <w:rsid w:val="004C0668"/>
    <w:rsid w:val="004C1679"/>
    <w:rsid w:val="004C2007"/>
    <w:rsid w:val="004C327B"/>
    <w:rsid w:val="004C3557"/>
    <w:rsid w:val="004C36B0"/>
    <w:rsid w:val="004C4D58"/>
    <w:rsid w:val="004C4E29"/>
    <w:rsid w:val="004C6E33"/>
    <w:rsid w:val="004F06F7"/>
    <w:rsid w:val="004F3EDC"/>
    <w:rsid w:val="00502314"/>
    <w:rsid w:val="00502A06"/>
    <w:rsid w:val="00502E49"/>
    <w:rsid w:val="005042FC"/>
    <w:rsid w:val="00513258"/>
    <w:rsid w:val="005367B9"/>
    <w:rsid w:val="00537FA4"/>
    <w:rsid w:val="005402A0"/>
    <w:rsid w:val="00540C70"/>
    <w:rsid w:val="00542993"/>
    <w:rsid w:val="005456E3"/>
    <w:rsid w:val="00555C14"/>
    <w:rsid w:val="00561689"/>
    <w:rsid w:val="00561A0B"/>
    <w:rsid w:val="00562C93"/>
    <w:rsid w:val="005632FD"/>
    <w:rsid w:val="00564829"/>
    <w:rsid w:val="00572206"/>
    <w:rsid w:val="005727EC"/>
    <w:rsid w:val="00573CC7"/>
    <w:rsid w:val="00587E08"/>
    <w:rsid w:val="00590309"/>
    <w:rsid w:val="0059271C"/>
    <w:rsid w:val="00593871"/>
    <w:rsid w:val="005A16F9"/>
    <w:rsid w:val="005A200E"/>
    <w:rsid w:val="005A28A4"/>
    <w:rsid w:val="005B0431"/>
    <w:rsid w:val="005B0A38"/>
    <w:rsid w:val="005B0B7D"/>
    <w:rsid w:val="005B2533"/>
    <w:rsid w:val="005C4B99"/>
    <w:rsid w:val="005D277A"/>
    <w:rsid w:val="005D4B01"/>
    <w:rsid w:val="005E0379"/>
    <w:rsid w:val="005E1A20"/>
    <w:rsid w:val="005E4A2A"/>
    <w:rsid w:val="005F21A7"/>
    <w:rsid w:val="006012DA"/>
    <w:rsid w:val="0060265F"/>
    <w:rsid w:val="00605A0A"/>
    <w:rsid w:val="00606EC7"/>
    <w:rsid w:val="00610391"/>
    <w:rsid w:val="00612309"/>
    <w:rsid w:val="00614DC0"/>
    <w:rsid w:val="006214CB"/>
    <w:rsid w:val="00630CFE"/>
    <w:rsid w:val="0063758E"/>
    <w:rsid w:val="0063797C"/>
    <w:rsid w:val="006412F8"/>
    <w:rsid w:val="0064225D"/>
    <w:rsid w:val="00647C45"/>
    <w:rsid w:val="006515BD"/>
    <w:rsid w:val="006548C3"/>
    <w:rsid w:val="006567A4"/>
    <w:rsid w:val="0067275C"/>
    <w:rsid w:val="006741BA"/>
    <w:rsid w:val="00680D00"/>
    <w:rsid w:val="006917CA"/>
    <w:rsid w:val="006A1B20"/>
    <w:rsid w:val="006A36B9"/>
    <w:rsid w:val="006A5ACD"/>
    <w:rsid w:val="006B778B"/>
    <w:rsid w:val="006C31F2"/>
    <w:rsid w:val="006C78E1"/>
    <w:rsid w:val="006C7EEE"/>
    <w:rsid w:val="006D0872"/>
    <w:rsid w:val="006D2771"/>
    <w:rsid w:val="006D6C98"/>
    <w:rsid w:val="006E146C"/>
    <w:rsid w:val="006E1D34"/>
    <w:rsid w:val="006E2D47"/>
    <w:rsid w:val="006E2F14"/>
    <w:rsid w:val="006F084A"/>
    <w:rsid w:val="006F3897"/>
    <w:rsid w:val="006F4D6F"/>
    <w:rsid w:val="00704C53"/>
    <w:rsid w:val="00711307"/>
    <w:rsid w:val="007166EC"/>
    <w:rsid w:val="0071760C"/>
    <w:rsid w:val="00724293"/>
    <w:rsid w:val="007246ED"/>
    <w:rsid w:val="00725AEB"/>
    <w:rsid w:val="00736707"/>
    <w:rsid w:val="00737861"/>
    <w:rsid w:val="00744A2F"/>
    <w:rsid w:val="007460D4"/>
    <w:rsid w:val="0074733F"/>
    <w:rsid w:val="00760E12"/>
    <w:rsid w:val="00763230"/>
    <w:rsid w:val="0076513D"/>
    <w:rsid w:val="00781658"/>
    <w:rsid w:val="00784FA2"/>
    <w:rsid w:val="00790DE3"/>
    <w:rsid w:val="007970F0"/>
    <w:rsid w:val="00797F58"/>
    <w:rsid w:val="007B01CE"/>
    <w:rsid w:val="007B09C9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07A05"/>
    <w:rsid w:val="00812167"/>
    <w:rsid w:val="00813351"/>
    <w:rsid w:val="0082145D"/>
    <w:rsid w:val="0082320D"/>
    <w:rsid w:val="00824837"/>
    <w:rsid w:val="00824F35"/>
    <w:rsid w:val="00825172"/>
    <w:rsid w:val="00833870"/>
    <w:rsid w:val="0083447B"/>
    <w:rsid w:val="0083477F"/>
    <w:rsid w:val="0083539E"/>
    <w:rsid w:val="0083605C"/>
    <w:rsid w:val="00843D8C"/>
    <w:rsid w:val="0085466D"/>
    <w:rsid w:val="008623FD"/>
    <w:rsid w:val="0086671F"/>
    <w:rsid w:val="008703D3"/>
    <w:rsid w:val="0087056A"/>
    <w:rsid w:val="008756BC"/>
    <w:rsid w:val="00884A64"/>
    <w:rsid w:val="008945EA"/>
    <w:rsid w:val="00895A90"/>
    <w:rsid w:val="00895B3F"/>
    <w:rsid w:val="008A008D"/>
    <w:rsid w:val="008A38E3"/>
    <w:rsid w:val="008A4AF9"/>
    <w:rsid w:val="008A738C"/>
    <w:rsid w:val="008A78B6"/>
    <w:rsid w:val="008C09C4"/>
    <w:rsid w:val="008C65A6"/>
    <w:rsid w:val="008D01EA"/>
    <w:rsid w:val="008D1EB8"/>
    <w:rsid w:val="008F6E3E"/>
    <w:rsid w:val="0090127B"/>
    <w:rsid w:val="009027DA"/>
    <w:rsid w:val="00902979"/>
    <w:rsid w:val="009067E0"/>
    <w:rsid w:val="00906FFA"/>
    <w:rsid w:val="00914167"/>
    <w:rsid w:val="00920B0A"/>
    <w:rsid w:val="00923CD6"/>
    <w:rsid w:val="00923DE2"/>
    <w:rsid w:val="00924235"/>
    <w:rsid w:val="009308F5"/>
    <w:rsid w:val="009339D7"/>
    <w:rsid w:val="0093417F"/>
    <w:rsid w:val="0093443D"/>
    <w:rsid w:val="00935347"/>
    <w:rsid w:val="009353EA"/>
    <w:rsid w:val="00936EA8"/>
    <w:rsid w:val="00941C44"/>
    <w:rsid w:val="009423B8"/>
    <w:rsid w:val="00944266"/>
    <w:rsid w:val="00945B74"/>
    <w:rsid w:val="00951231"/>
    <w:rsid w:val="0096427A"/>
    <w:rsid w:val="009709AF"/>
    <w:rsid w:val="0097495D"/>
    <w:rsid w:val="00976DD7"/>
    <w:rsid w:val="00983692"/>
    <w:rsid w:val="00995914"/>
    <w:rsid w:val="00995BF8"/>
    <w:rsid w:val="00996CDB"/>
    <w:rsid w:val="00997662"/>
    <w:rsid w:val="009A3734"/>
    <w:rsid w:val="009A5E2B"/>
    <w:rsid w:val="009C1CE3"/>
    <w:rsid w:val="009C24CF"/>
    <w:rsid w:val="009C29B2"/>
    <w:rsid w:val="009C398A"/>
    <w:rsid w:val="009D0CD0"/>
    <w:rsid w:val="009D33A8"/>
    <w:rsid w:val="009D3EF7"/>
    <w:rsid w:val="009D3F2E"/>
    <w:rsid w:val="009D6CC1"/>
    <w:rsid w:val="009D6D19"/>
    <w:rsid w:val="009E0425"/>
    <w:rsid w:val="009E17C2"/>
    <w:rsid w:val="009E184B"/>
    <w:rsid w:val="009E46F8"/>
    <w:rsid w:val="009F5037"/>
    <w:rsid w:val="009F57FC"/>
    <w:rsid w:val="00A006FB"/>
    <w:rsid w:val="00A02168"/>
    <w:rsid w:val="00A03A4F"/>
    <w:rsid w:val="00A06025"/>
    <w:rsid w:val="00A10CAD"/>
    <w:rsid w:val="00A11A02"/>
    <w:rsid w:val="00A15F1D"/>
    <w:rsid w:val="00A211C9"/>
    <w:rsid w:val="00A26843"/>
    <w:rsid w:val="00A27B28"/>
    <w:rsid w:val="00A36FBE"/>
    <w:rsid w:val="00A40CBD"/>
    <w:rsid w:val="00A42220"/>
    <w:rsid w:val="00A46802"/>
    <w:rsid w:val="00A63435"/>
    <w:rsid w:val="00A66C15"/>
    <w:rsid w:val="00A71059"/>
    <w:rsid w:val="00A71385"/>
    <w:rsid w:val="00A72219"/>
    <w:rsid w:val="00A73466"/>
    <w:rsid w:val="00A761C6"/>
    <w:rsid w:val="00A7642C"/>
    <w:rsid w:val="00A77769"/>
    <w:rsid w:val="00A807CB"/>
    <w:rsid w:val="00A8291E"/>
    <w:rsid w:val="00A91DFD"/>
    <w:rsid w:val="00A9405D"/>
    <w:rsid w:val="00AA3B61"/>
    <w:rsid w:val="00AA5BC9"/>
    <w:rsid w:val="00AB2D30"/>
    <w:rsid w:val="00AB6F9E"/>
    <w:rsid w:val="00AC0A59"/>
    <w:rsid w:val="00AC2C9D"/>
    <w:rsid w:val="00AC7B1F"/>
    <w:rsid w:val="00AC7F9C"/>
    <w:rsid w:val="00AD1B65"/>
    <w:rsid w:val="00AD4BB1"/>
    <w:rsid w:val="00AD7BFB"/>
    <w:rsid w:val="00AE3C02"/>
    <w:rsid w:val="00AE56D8"/>
    <w:rsid w:val="00AF298C"/>
    <w:rsid w:val="00B06B3C"/>
    <w:rsid w:val="00B13B51"/>
    <w:rsid w:val="00B14406"/>
    <w:rsid w:val="00B14D3C"/>
    <w:rsid w:val="00B15F66"/>
    <w:rsid w:val="00B22C2A"/>
    <w:rsid w:val="00B23E28"/>
    <w:rsid w:val="00B461AC"/>
    <w:rsid w:val="00B500E1"/>
    <w:rsid w:val="00B659CA"/>
    <w:rsid w:val="00B7390E"/>
    <w:rsid w:val="00B80B29"/>
    <w:rsid w:val="00B849CF"/>
    <w:rsid w:val="00B90167"/>
    <w:rsid w:val="00B905CB"/>
    <w:rsid w:val="00B90F88"/>
    <w:rsid w:val="00B94D51"/>
    <w:rsid w:val="00B9500F"/>
    <w:rsid w:val="00B97226"/>
    <w:rsid w:val="00BA4FA7"/>
    <w:rsid w:val="00BA606B"/>
    <w:rsid w:val="00BA7F88"/>
    <w:rsid w:val="00BB141F"/>
    <w:rsid w:val="00BB3742"/>
    <w:rsid w:val="00BB39CE"/>
    <w:rsid w:val="00BC300E"/>
    <w:rsid w:val="00BC3EB3"/>
    <w:rsid w:val="00BD02BA"/>
    <w:rsid w:val="00BD385F"/>
    <w:rsid w:val="00BE11AC"/>
    <w:rsid w:val="00BF09D8"/>
    <w:rsid w:val="00BF1AF1"/>
    <w:rsid w:val="00BF36E4"/>
    <w:rsid w:val="00C003AC"/>
    <w:rsid w:val="00C01D65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269D4"/>
    <w:rsid w:val="00C34BC3"/>
    <w:rsid w:val="00C37A28"/>
    <w:rsid w:val="00C451CA"/>
    <w:rsid w:val="00C46902"/>
    <w:rsid w:val="00C51BB2"/>
    <w:rsid w:val="00C55C42"/>
    <w:rsid w:val="00C563AB"/>
    <w:rsid w:val="00C56C9F"/>
    <w:rsid w:val="00C577D5"/>
    <w:rsid w:val="00C57BEF"/>
    <w:rsid w:val="00C71F7D"/>
    <w:rsid w:val="00C81254"/>
    <w:rsid w:val="00C8661D"/>
    <w:rsid w:val="00C92244"/>
    <w:rsid w:val="00C93ECA"/>
    <w:rsid w:val="00CA034D"/>
    <w:rsid w:val="00CA1942"/>
    <w:rsid w:val="00CA6B67"/>
    <w:rsid w:val="00CA74BC"/>
    <w:rsid w:val="00CB251D"/>
    <w:rsid w:val="00CB4B04"/>
    <w:rsid w:val="00CB5D6B"/>
    <w:rsid w:val="00CC59FC"/>
    <w:rsid w:val="00CC63A7"/>
    <w:rsid w:val="00CC77BF"/>
    <w:rsid w:val="00CD7FEC"/>
    <w:rsid w:val="00CE3EE3"/>
    <w:rsid w:val="00CE74F8"/>
    <w:rsid w:val="00CF37DC"/>
    <w:rsid w:val="00CF3A76"/>
    <w:rsid w:val="00CF4F36"/>
    <w:rsid w:val="00CF7FCD"/>
    <w:rsid w:val="00D0482D"/>
    <w:rsid w:val="00D0594D"/>
    <w:rsid w:val="00D06EDA"/>
    <w:rsid w:val="00D108AF"/>
    <w:rsid w:val="00D11505"/>
    <w:rsid w:val="00D15ACF"/>
    <w:rsid w:val="00D17581"/>
    <w:rsid w:val="00D17976"/>
    <w:rsid w:val="00D21530"/>
    <w:rsid w:val="00D36E11"/>
    <w:rsid w:val="00D37252"/>
    <w:rsid w:val="00D374FE"/>
    <w:rsid w:val="00D444BA"/>
    <w:rsid w:val="00D54396"/>
    <w:rsid w:val="00D55F8C"/>
    <w:rsid w:val="00D5705F"/>
    <w:rsid w:val="00D6126F"/>
    <w:rsid w:val="00D64073"/>
    <w:rsid w:val="00D66CBE"/>
    <w:rsid w:val="00D66F15"/>
    <w:rsid w:val="00D72B31"/>
    <w:rsid w:val="00D767EE"/>
    <w:rsid w:val="00D77C6E"/>
    <w:rsid w:val="00D836E0"/>
    <w:rsid w:val="00D8427A"/>
    <w:rsid w:val="00D87452"/>
    <w:rsid w:val="00D9038A"/>
    <w:rsid w:val="00D914F3"/>
    <w:rsid w:val="00D91AAF"/>
    <w:rsid w:val="00D95DBB"/>
    <w:rsid w:val="00D97F26"/>
    <w:rsid w:val="00DA7493"/>
    <w:rsid w:val="00DB56EC"/>
    <w:rsid w:val="00DC1E46"/>
    <w:rsid w:val="00DC2779"/>
    <w:rsid w:val="00DC38DD"/>
    <w:rsid w:val="00DC628B"/>
    <w:rsid w:val="00DC6B84"/>
    <w:rsid w:val="00DD50E5"/>
    <w:rsid w:val="00DD510C"/>
    <w:rsid w:val="00DE2FC3"/>
    <w:rsid w:val="00DE69FC"/>
    <w:rsid w:val="00DE7969"/>
    <w:rsid w:val="00DE7FCB"/>
    <w:rsid w:val="00DF1BEB"/>
    <w:rsid w:val="00DF4841"/>
    <w:rsid w:val="00DF7F53"/>
    <w:rsid w:val="00E00976"/>
    <w:rsid w:val="00E00DA2"/>
    <w:rsid w:val="00E11186"/>
    <w:rsid w:val="00E146BF"/>
    <w:rsid w:val="00E17B87"/>
    <w:rsid w:val="00E26613"/>
    <w:rsid w:val="00E2750D"/>
    <w:rsid w:val="00E4339E"/>
    <w:rsid w:val="00E4384E"/>
    <w:rsid w:val="00E54424"/>
    <w:rsid w:val="00E562AA"/>
    <w:rsid w:val="00E60D26"/>
    <w:rsid w:val="00E61788"/>
    <w:rsid w:val="00E62804"/>
    <w:rsid w:val="00E62FA7"/>
    <w:rsid w:val="00E67A3A"/>
    <w:rsid w:val="00E71C9F"/>
    <w:rsid w:val="00E75A03"/>
    <w:rsid w:val="00EA068E"/>
    <w:rsid w:val="00EA0D9B"/>
    <w:rsid w:val="00EA6F5D"/>
    <w:rsid w:val="00EB3F8D"/>
    <w:rsid w:val="00EC236B"/>
    <w:rsid w:val="00EC5541"/>
    <w:rsid w:val="00EC79C0"/>
    <w:rsid w:val="00ED1FE7"/>
    <w:rsid w:val="00ED3C6E"/>
    <w:rsid w:val="00ED7318"/>
    <w:rsid w:val="00EE45C5"/>
    <w:rsid w:val="00EE5594"/>
    <w:rsid w:val="00EE7935"/>
    <w:rsid w:val="00EF3564"/>
    <w:rsid w:val="00F05A1E"/>
    <w:rsid w:val="00F10FBE"/>
    <w:rsid w:val="00F1458B"/>
    <w:rsid w:val="00F168A7"/>
    <w:rsid w:val="00F22830"/>
    <w:rsid w:val="00F2338D"/>
    <w:rsid w:val="00F25C07"/>
    <w:rsid w:val="00F379F2"/>
    <w:rsid w:val="00F5484C"/>
    <w:rsid w:val="00F56B0B"/>
    <w:rsid w:val="00F60BB9"/>
    <w:rsid w:val="00F611CD"/>
    <w:rsid w:val="00F627B7"/>
    <w:rsid w:val="00F62A20"/>
    <w:rsid w:val="00F631CC"/>
    <w:rsid w:val="00F646E1"/>
    <w:rsid w:val="00F7179D"/>
    <w:rsid w:val="00F81DB5"/>
    <w:rsid w:val="00F841F1"/>
    <w:rsid w:val="00F91F8E"/>
    <w:rsid w:val="00F9456E"/>
    <w:rsid w:val="00FA3AD1"/>
    <w:rsid w:val="00FA6A06"/>
    <w:rsid w:val="00FB1336"/>
    <w:rsid w:val="00FB1E67"/>
    <w:rsid w:val="00FB3B20"/>
    <w:rsid w:val="00FB3D70"/>
    <w:rsid w:val="00FC3263"/>
    <w:rsid w:val="00FC5C60"/>
    <w:rsid w:val="00FD2031"/>
    <w:rsid w:val="00FD2243"/>
    <w:rsid w:val="00FD3550"/>
    <w:rsid w:val="00FD52BB"/>
    <w:rsid w:val="00FE7611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FA92-6299-4658-A7C7-53CE3C1F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549</cp:revision>
  <cp:lastPrinted>2022-11-15T03:06:00Z</cp:lastPrinted>
  <dcterms:created xsi:type="dcterms:W3CDTF">2018-05-18T12:45:00Z</dcterms:created>
  <dcterms:modified xsi:type="dcterms:W3CDTF">2022-11-15T03:12:00Z</dcterms:modified>
</cp:coreProperties>
</file>